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2" w:rsidRDefault="0096020A">
      <w:pPr>
        <w:ind w:left="284" w:right="425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right="425"/>
        <w:jc w:val="center"/>
        <w:rPr>
          <w:b/>
        </w:rPr>
      </w:pPr>
    </w:p>
    <w:p w:rsidR="00113302" w:rsidRDefault="00113302">
      <w:pPr>
        <w:ind w:right="425"/>
        <w:jc w:val="center"/>
        <w:rPr>
          <w:b/>
        </w:rPr>
      </w:pPr>
    </w:p>
    <w:p w:rsidR="00113302" w:rsidRDefault="00113302">
      <w:pPr>
        <w:ind w:right="425"/>
        <w:jc w:val="center"/>
      </w:pPr>
    </w:p>
    <w:p w:rsidR="00113302" w:rsidRDefault="00113302">
      <w:pPr>
        <w:ind w:right="425"/>
        <w:jc w:val="center"/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</w:rPr>
      </w:pPr>
    </w:p>
    <w:p w:rsidR="00113302" w:rsidRDefault="00113302">
      <w:pPr>
        <w:ind w:left="284" w:right="425"/>
        <w:jc w:val="center"/>
        <w:rPr>
          <w:b/>
          <w:sz w:val="40"/>
        </w:rPr>
      </w:pPr>
    </w:p>
    <w:p w:rsidR="00113302" w:rsidRDefault="0096020A">
      <w:pPr>
        <w:pStyle w:val="1"/>
        <w:numPr>
          <w:ilvl w:val="0"/>
          <w:numId w:val="2"/>
        </w:numPr>
        <w:spacing w:after="120"/>
        <w:ind w:left="284" w:right="14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АНАЛИЗ</w:t>
      </w:r>
    </w:p>
    <w:p w:rsidR="00113302" w:rsidRDefault="0096020A">
      <w:pPr>
        <w:pStyle w:val="1"/>
        <w:numPr>
          <w:ilvl w:val="0"/>
          <w:numId w:val="2"/>
        </w:numPr>
        <w:ind w:left="284" w:right="14"/>
        <w:rPr>
          <w:color w:val="000000"/>
          <w:sz w:val="34"/>
        </w:rPr>
      </w:pPr>
      <w:r>
        <w:rPr>
          <w:color w:val="000000"/>
          <w:sz w:val="34"/>
        </w:rPr>
        <w:t>ОБСТАНОВКИ  С   ПОЖАРАМИ</w:t>
      </w:r>
    </w:p>
    <w:p w:rsidR="00113302" w:rsidRDefault="0096020A">
      <w:pPr>
        <w:ind w:right="14"/>
        <w:jc w:val="center"/>
        <w:rPr>
          <w:b/>
          <w:bCs/>
          <w:color w:val="000000"/>
          <w:sz w:val="34"/>
        </w:rPr>
      </w:pPr>
      <w:r>
        <w:rPr>
          <w:b/>
          <w:bCs/>
          <w:color w:val="000000"/>
          <w:sz w:val="34"/>
        </w:rPr>
        <w:t>И  ПОСЛЕДСТВИЙ  ОТ  НИХ</w:t>
      </w:r>
    </w:p>
    <w:p w:rsidR="00113302" w:rsidRDefault="0096020A">
      <w:pPr>
        <w:ind w:right="14"/>
        <w:jc w:val="center"/>
        <w:rPr>
          <w:b/>
          <w:bCs/>
          <w:color w:val="000000"/>
          <w:sz w:val="34"/>
        </w:rPr>
      </w:pPr>
      <w:r>
        <w:rPr>
          <w:b/>
          <w:bCs/>
          <w:color w:val="000000"/>
          <w:sz w:val="34"/>
        </w:rPr>
        <w:t>НА  ТЕРРИТОРИИ</w:t>
      </w:r>
    </w:p>
    <w:p w:rsidR="00113302" w:rsidRDefault="0096020A">
      <w:pPr>
        <w:pStyle w:val="6"/>
        <w:numPr>
          <w:ilvl w:val="5"/>
          <w:numId w:val="2"/>
        </w:numPr>
        <w:ind w:left="284" w:right="14"/>
        <w:rPr>
          <w:color w:val="000000"/>
        </w:rPr>
      </w:pPr>
      <w:r>
        <w:rPr>
          <w:color w:val="000000"/>
        </w:rPr>
        <w:t xml:space="preserve">города Челябинска </w:t>
      </w:r>
    </w:p>
    <w:p w:rsidR="00113302" w:rsidRDefault="0096020A">
      <w:pPr>
        <w:pStyle w:val="7"/>
        <w:numPr>
          <w:ilvl w:val="6"/>
          <w:numId w:val="2"/>
        </w:numPr>
        <w:spacing w:before="120"/>
        <w:ind w:left="284" w:right="14"/>
      </w:pPr>
      <w:r>
        <w:rPr>
          <w:i w:val="0"/>
          <w:iCs w:val="0"/>
          <w:color w:val="000000"/>
          <w:sz w:val="36"/>
        </w:rPr>
        <w:t>за период январь-август 2021 года</w:t>
      </w:r>
    </w:p>
    <w:p w:rsidR="00113302" w:rsidRDefault="00113302">
      <w:pPr>
        <w:ind w:left="284" w:right="425"/>
        <w:jc w:val="center"/>
        <w:rPr>
          <w:i/>
          <w:iCs/>
          <w:color w:val="000000"/>
          <w:sz w:val="36"/>
        </w:rPr>
      </w:pPr>
    </w:p>
    <w:p w:rsidR="00113302" w:rsidRDefault="00113302">
      <w:pPr>
        <w:ind w:left="284" w:right="425"/>
        <w:jc w:val="center"/>
        <w:rPr>
          <w:i/>
          <w:iCs/>
          <w:color w:val="000000"/>
          <w:sz w:val="36"/>
        </w:rPr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113302">
      <w:pPr>
        <w:ind w:left="284" w:right="425"/>
        <w:jc w:val="center"/>
      </w:pPr>
    </w:p>
    <w:p w:rsidR="00113302" w:rsidRDefault="0096020A">
      <w:pPr>
        <w:pStyle w:val="4"/>
        <w:numPr>
          <w:ilvl w:val="3"/>
          <w:numId w:val="2"/>
        </w:numPr>
        <w:ind w:left="284"/>
        <w:rPr>
          <w:color w:val="000000"/>
        </w:rPr>
      </w:pPr>
      <w:r>
        <w:rPr>
          <w:color w:val="000000"/>
        </w:rPr>
        <w:t>Челябинск 2021</w:t>
      </w:r>
    </w:p>
    <w:p w:rsidR="00113302" w:rsidRDefault="00113302">
      <w:pPr>
        <w:rPr>
          <w:color w:val="000000"/>
        </w:rPr>
      </w:pPr>
    </w:p>
    <w:p w:rsidR="00113302" w:rsidRDefault="009602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Обстановка с пожарами и их последствиями по г. Челябинску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За период с января по август 2021 года обстановка с пожарами в городе Челябинске по сравнению с аналогичным периодом прошлого года (АППГ) характеризовалась следующими основными показателями (рис.1):</w:t>
      </w:r>
    </w:p>
    <w:p w:rsidR="00113302" w:rsidRDefault="0096020A">
      <w:pPr>
        <w:jc w:val="both"/>
      </w:pPr>
      <w:r>
        <w:rPr>
          <w:sz w:val="28"/>
          <w:szCs w:val="28"/>
        </w:rPr>
        <w:tab/>
        <w:t xml:space="preserve">- зарегистрировано 3312 пожаров (+36,7% к АППГ – 2422) (рис.1); </w:t>
      </w:r>
    </w:p>
    <w:p w:rsidR="00113302" w:rsidRDefault="0096020A">
      <w:pPr>
        <w:jc w:val="both"/>
      </w:pPr>
      <w:r>
        <w:rPr>
          <w:sz w:val="28"/>
          <w:szCs w:val="28"/>
        </w:rPr>
        <w:tab/>
        <w:t xml:space="preserve">- погибло при пожарах 24 человека, (+4,3% к АППГ – 23 человека, гибели детей не допущено (рис.1); </w:t>
      </w:r>
    </w:p>
    <w:p w:rsidR="00113302" w:rsidRDefault="0096020A">
      <w:pPr>
        <w:ind w:firstLine="708"/>
        <w:jc w:val="both"/>
      </w:pPr>
      <w:r>
        <w:rPr>
          <w:sz w:val="28"/>
          <w:szCs w:val="28"/>
        </w:rPr>
        <w:t>- получили травмы на пожарах 40 человек, за АППГ – 32 человека (+25%), травмирование детей не допущено (рис.1).</w:t>
      </w:r>
    </w:p>
    <w:p w:rsidR="00113302" w:rsidRDefault="00113302">
      <w:pPr>
        <w:jc w:val="both"/>
        <w:rPr>
          <w:sz w:val="28"/>
          <w:szCs w:val="28"/>
        </w:rPr>
      </w:pPr>
    </w:p>
    <w:p w:rsidR="00113302" w:rsidRDefault="009602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Рис.1Количество пожаров и их последствий в г. Челябинске</w:t>
      </w: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59450" cy="2919095"/>
            <wp:effectExtent l="0" t="0" r="0" b="0"/>
            <wp:wrapSquare wrapText="largest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3302" w:rsidRDefault="00113302">
      <w:pPr>
        <w:jc w:val="center"/>
        <w:rPr>
          <w:b/>
          <w:sz w:val="26"/>
          <w:szCs w:val="26"/>
        </w:rPr>
      </w:pPr>
    </w:p>
    <w:p w:rsidR="00113302" w:rsidRDefault="0096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в Челябинске в среднем происходило 14 пожаров.</w:t>
      </w:r>
    </w:p>
    <w:p w:rsidR="00113302" w:rsidRDefault="00113302">
      <w:pPr>
        <w:ind w:firstLine="709"/>
        <w:jc w:val="center"/>
        <w:rPr>
          <w:b/>
          <w:sz w:val="26"/>
          <w:szCs w:val="26"/>
        </w:rPr>
      </w:pPr>
    </w:p>
    <w:p w:rsidR="00113302" w:rsidRDefault="0096020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Рис.2. Количество пожаров</w:t>
      </w:r>
    </w:p>
    <w:p w:rsidR="00113302" w:rsidRDefault="0096020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административным территориям г. Челябинска</w:t>
      </w:r>
    </w:p>
    <w:p w:rsidR="00113302" w:rsidRDefault="0096020A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13302" w:rsidRDefault="00113302">
      <w:pPr>
        <w:jc w:val="center"/>
      </w:pPr>
    </w:p>
    <w:p w:rsidR="00113302" w:rsidRDefault="00113302">
      <w:pPr>
        <w:jc w:val="center"/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113302">
      <w:pPr>
        <w:pStyle w:val="10"/>
        <w:tabs>
          <w:tab w:val="left" w:pos="1005"/>
        </w:tabs>
        <w:ind w:firstLine="709"/>
        <w:jc w:val="both"/>
        <w:rPr>
          <w:b w:val="0"/>
          <w:szCs w:val="28"/>
        </w:rPr>
      </w:pPr>
    </w:p>
    <w:p w:rsidR="00113302" w:rsidRDefault="0096020A">
      <w:pPr>
        <w:pStyle w:val="10"/>
        <w:tabs>
          <w:tab w:val="left" w:pos="1005"/>
        </w:tabs>
        <w:ind w:firstLine="709"/>
        <w:jc w:val="both"/>
      </w:pPr>
      <w:r>
        <w:rPr>
          <w:b w:val="0"/>
          <w:szCs w:val="28"/>
        </w:rPr>
        <w:t>Установлено увеличение количества пожаров во всех районах города (см. рис.2)</w:t>
      </w:r>
    </w:p>
    <w:p w:rsidR="00113302" w:rsidRDefault="00113302">
      <w:pPr>
        <w:pStyle w:val="a8"/>
        <w:tabs>
          <w:tab w:val="left" w:pos="1005"/>
        </w:tabs>
        <w:ind w:firstLine="709"/>
        <w:jc w:val="both"/>
        <w:rPr>
          <w:szCs w:val="28"/>
        </w:rPr>
      </w:pPr>
    </w:p>
    <w:p w:rsidR="00113302" w:rsidRDefault="00113302">
      <w:pPr>
        <w:pStyle w:val="a8"/>
        <w:tabs>
          <w:tab w:val="left" w:pos="1005"/>
        </w:tabs>
        <w:ind w:firstLine="709"/>
        <w:jc w:val="both"/>
        <w:rPr>
          <w:szCs w:val="28"/>
        </w:rPr>
      </w:pPr>
    </w:p>
    <w:p w:rsidR="00113302" w:rsidRDefault="0096020A">
      <w:pPr>
        <w:jc w:val="center"/>
        <w:rPr>
          <w:b/>
          <w:sz w:val="26"/>
          <w:szCs w:val="26"/>
        </w:rPr>
      </w:pPr>
      <w:r>
        <w:rPr>
          <w:b/>
        </w:rPr>
        <w:t>Р</w:t>
      </w:r>
      <w:r>
        <w:rPr>
          <w:b/>
          <w:sz w:val="26"/>
          <w:szCs w:val="26"/>
        </w:rPr>
        <w:t xml:space="preserve">ис.3. Количество погибших людей </w:t>
      </w:r>
    </w:p>
    <w:p w:rsidR="00113302" w:rsidRDefault="0096020A">
      <w:pPr>
        <w:jc w:val="center"/>
      </w:pPr>
      <w:r>
        <w:rPr>
          <w:b/>
          <w:sz w:val="26"/>
          <w:szCs w:val="26"/>
        </w:rPr>
        <w:t xml:space="preserve">по административным  </w:t>
      </w:r>
      <w:r>
        <w:rPr>
          <w:b/>
          <w:bCs/>
          <w:sz w:val="26"/>
          <w:szCs w:val="28"/>
        </w:rPr>
        <w:t>территориям г. Челябинска</w:t>
      </w:r>
    </w:p>
    <w:p w:rsidR="00113302" w:rsidRDefault="0096020A">
      <w:pPr>
        <w:ind w:left="-360"/>
        <w:jc w:val="both"/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5767070" cy="3343275"/>
            <wp:effectExtent l="0" t="0" r="0" b="0"/>
            <wp:wrapSquare wrapText="largest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13302" w:rsidRDefault="00113302">
      <w:pPr>
        <w:jc w:val="center"/>
      </w:pPr>
      <w:bookmarkStart w:id="1" w:name="_1678700098"/>
      <w:bookmarkStart w:id="2" w:name="_1676458887"/>
      <w:bookmarkStart w:id="3" w:name="_1674543372"/>
      <w:bookmarkStart w:id="4" w:name="_1678700142"/>
      <w:bookmarkEnd w:id="1"/>
      <w:bookmarkEnd w:id="2"/>
      <w:bookmarkEnd w:id="3"/>
      <w:bookmarkEnd w:id="4"/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pStyle w:val="1"/>
        <w:numPr>
          <w:ilvl w:val="0"/>
          <w:numId w:val="2"/>
        </w:numPr>
        <w:ind w:left="284" w:right="86" w:firstLine="709"/>
        <w:jc w:val="both"/>
        <w:rPr>
          <w:rStyle w:val="a7"/>
          <w:b w:val="0"/>
          <w:bCs w:val="0"/>
          <w:i w:val="0"/>
          <w:color w:val="000000"/>
          <w:sz w:val="28"/>
          <w:szCs w:val="28"/>
        </w:rPr>
      </w:pPr>
    </w:p>
    <w:p w:rsidR="00113302" w:rsidRDefault="00113302">
      <w:pPr>
        <w:pStyle w:val="1"/>
        <w:numPr>
          <w:ilvl w:val="0"/>
          <w:numId w:val="2"/>
        </w:numPr>
        <w:ind w:left="284" w:right="86" w:firstLine="709"/>
        <w:jc w:val="both"/>
        <w:rPr>
          <w:rStyle w:val="a7"/>
          <w:b w:val="0"/>
          <w:bCs w:val="0"/>
          <w:i w:val="0"/>
          <w:color w:val="000000"/>
          <w:sz w:val="28"/>
          <w:szCs w:val="28"/>
        </w:rPr>
      </w:pPr>
    </w:p>
    <w:p w:rsidR="00113302" w:rsidRDefault="0096020A">
      <w:pPr>
        <w:pStyle w:val="1"/>
        <w:numPr>
          <w:ilvl w:val="0"/>
          <w:numId w:val="2"/>
        </w:numPr>
        <w:ind w:left="284" w:right="86" w:firstLine="709"/>
        <w:jc w:val="both"/>
      </w:pPr>
      <w:r>
        <w:rPr>
          <w:rStyle w:val="a7"/>
          <w:b w:val="0"/>
          <w:bCs w:val="0"/>
          <w:i w:val="0"/>
          <w:color w:val="000000"/>
          <w:sz w:val="28"/>
          <w:szCs w:val="28"/>
        </w:rPr>
        <w:t>В Металлургическом и Курчатовском районах г. Челябинска  наблюдается рост количества погибших на пожарах (на 8 и 5 случаев соответственно). Снижение количества погибших в сравнении с АППГ наблюдается в Тракторозаводском, Центральном, Советском. Калининском  и Ленинском районах города (рис.3).</w:t>
      </w:r>
    </w:p>
    <w:p w:rsidR="00113302" w:rsidRDefault="00113302">
      <w:pPr>
        <w:ind w:right="86" w:firstLine="709"/>
        <w:jc w:val="both"/>
        <w:rPr>
          <w:rStyle w:val="a7"/>
          <w:i w:val="0"/>
          <w:color w:val="000000"/>
          <w:sz w:val="28"/>
          <w:szCs w:val="28"/>
        </w:rPr>
      </w:pPr>
    </w:p>
    <w:p w:rsidR="00113302" w:rsidRDefault="0096020A">
      <w:pPr>
        <w:pStyle w:val="10"/>
        <w:tabs>
          <w:tab w:val="left" w:pos="1005"/>
        </w:tabs>
        <w:jc w:val="both"/>
      </w:pPr>
      <w:r>
        <w:rPr>
          <w:b w:val="0"/>
          <w:szCs w:val="28"/>
        </w:rPr>
        <w:tab/>
        <w:t xml:space="preserve"> </w:t>
      </w:r>
      <w:r>
        <w:rPr>
          <w:sz w:val="26"/>
          <w:szCs w:val="26"/>
        </w:rPr>
        <w:t>Рис.4. Распределение погибших при пожарах людей по возрасту в 2021 г.</w:t>
      </w:r>
    </w:p>
    <w:p w:rsidR="00113302" w:rsidRDefault="00113302">
      <w:pPr>
        <w:pStyle w:val="a8"/>
        <w:tabs>
          <w:tab w:val="left" w:pos="1005"/>
        </w:tabs>
      </w:pPr>
      <w:bookmarkStart w:id="5" w:name="_1678700233"/>
      <w:bookmarkStart w:id="6" w:name="_1676458939"/>
      <w:bookmarkStart w:id="7" w:name="_1674543597"/>
      <w:bookmarkEnd w:id="5"/>
      <w:bookmarkEnd w:id="6"/>
      <w:bookmarkEnd w:id="7"/>
    </w:p>
    <w:p w:rsidR="00113302" w:rsidRDefault="00113302">
      <w:pPr>
        <w:jc w:val="center"/>
        <w:rPr>
          <w:b/>
          <w:iCs/>
          <w:sz w:val="26"/>
          <w:szCs w:val="26"/>
        </w:rPr>
      </w:pPr>
    </w:p>
    <w:p w:rsidR="00113302" w:rsidRDefault="0096020A">
      <w:pPr>
        <w:jc w:val="center"/>
        <w:rPr>
          <w:b/>
          <w:iCs/>
          <w:sz w:val="26"/>
          <w:szCs w:val="26"/>
        </w:rPr>
      </w:pPr>
      <w:r>
        <w:rPr>
          <w:b/>
          <w:iCs/>
          <w:noProof/>
          <w:sz w:val="26"/>
          <w:szCs w:val="26"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13302" w:rsidRDefault="00113302">
      <w:pPr>
        <w:rPr>
          <w:b/>
          <w:iCs/>
          <w:sz w:val="28"/>
          <w:szCs w:val="28"/>
        </w:rPr>
      </w:pPr>
    </w:p>
    <w:p w:rsidR="00113302" w:rsidRDefault="00113302">
      <w:pPr>
        <w:ind w:firstLine="709"/>
        <w:rPr>
          <w:sz w:val="28"/>
          <w:szCs w:val="28"/>
        </w:rPr>
      </w:pPr>
    </w:p>
    <w:p w:rsidR="00113302" w:rsidRDefault="00113302">
      <w:pPr>
        <w:ind w:firstLine="709"/>
        <w:rPr>
          <w:sz w:val="28"/>
          <w:szCs w:val="28"/>
        </w:rPr>
      </w:pPr>
    </w:p>
    <w:p w:rsidR="00113302" w:rsidRDefault="00113302">
      <w:pPr>
        <w:ind w:firstLine="709"/>
        <w:rPr>
          <w:sz w:val="28"/>
          <w:szCs w:val="28"/>
        </w:rPr>
      </w:pPr>
    </w:p>
    <w:p w:rsidR="00113302" w:rsidRDefault="00113302">
      <w:pPr>
        <w:ind w:firstLine="709"/>
        <w:rPr>
          <w:sz w:val="28"/>
          <w:szCs w:val="28"/>
        </w:rPr>
      </w:pPr>
    </w:p>
    <w:p w:rsidR="00113302" w:rsidRDefault="0096020A">
      <w:pPr>
        <w:ind w:firstLine="709"/>
      </w:pPr>
      <w:r>
        <w:rPr>
          <w:sz w:val="28"/>
          <w:szCs w:val="28"/>
        </w:rPr>
        <w:t xml:space="preserve">Распределение погибших при пожарах людей по возрасту в </w:t>
      </w:r>
      <w:r>
        <w:rPr>
          <w:iCs/>
          <w:sz w:val="28"/>
          <w:szCs w:val="28"/>
        </w:rPr>
        <w:t xml:space="preserve">2021 г. </w:t>
      </w:r>
      <w:r>
        <w:rPr>
          <w:sz w:val="28"/>
          <w:szCs w:val="28"/>
        </w:rPr>
        <w:t>(рис.4)</w:t>
      </w:r>
      <w:r>
        <w:rPr>
          <w:iCs/>
          <w:sz w:val="28"/>
          <w:szCs w:val="28"/>
        </w:rPr>
        <w:t>:</w:t>
      </w:r>
    </w:p>
    <w:p w:rsidR="00113302" w:rsidRDefault="00113302">
      <w:pPr>
        <w:ind w:firstLine="709"/>
        <w:jc w:val="both"/>
        <w:rPr>
          <w:sz w:val="28"/>
          <w:szCs w:val="28"/>
        </w:rPr>
      </w:pPr>
    </w:p>
    <w:p w:rsidR="00113302" w:rsidRDefault="0096020A">
      <w:pPr>
        <w:pStyle w:val="10"/>
        <w:tabs>
          <w:tab w:val="left" w:pos="1005"/>
        </w:tabs>
        <w:ind w:firstLine="709"/>
        <w:jc w:val="left"/>
      </w:pPr>
      <w:r>
        <w:rPr>
          <w:b w:val="0"/>
          <w:szCs w:val="28"/>
        </w:rPr>
        <w:t>- 9 человек - в категории от 46 до 60 лет,</w:t>
      </w:r>
    </w:p>
    <w:p w:rsidR="00113302" w:rsidRDefault="0096020A">
      <w:pPr>
        <w:pStyle w:val="10"/>
        <w:tabs>
          <w:tab w:val="left" w:pos="1005"/>
        </w:tabs>
        <w:ind w:firstLine="709"/>
        <w:jc w:val="left"/>
      </w:pPr>
      <w:r>
        <w:rPr>
          <w:b w:val="0"/>
          <w:szCs w:val="28"/>
        </w:rPr>
        <w:lastRenderedPageBreak/>
        <w:t>- 7 человек - в категории старше 61 года;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 xml:space="preserve">- 5 человек – возраст не установлен; </w:t>
      </w:r>
    </w:p>
    <w:p w:rsidR="00113302" w:rsidRDefault="0096020A">
      <w:pPr>
        <w:pStyle w:val="10"/>
        <w:tabs>
          <w:tab w:val="left" w:pos="1005"/>
        </w:tabs>
        <w:ind w:firstLine="709"/>
        <w:jc w:val="both"/>
        <w:rPr>
          <w:szCs w:val="28"/>
        </w:rPr>
      </w:pPr>
      <w:r>
        <w:rPr>
          <w:b w:val="0"/>
          <w:szCs w:val="28"/>
        </w:rPr>
        <w:t>- 3 человека – в категории от 36 до 45 лет.</w:t>
      </w:r>
    </w:p>
    <w:p w:rsidR="00113302" w:rsidRDefault="00113302">
      <w:pPr>
        <w:jc w:val="both"/>
        <w:rPr>
          <w:sz w:val="28"/>
          <w:szCs w:val="28"/>
        </w:rPr>
      </w:pPr>
    </w:p>
    <w:p w:rsidR="00113302" w:rsidRDefault="00960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Гибель людей на пожарах допущена вследствие следующих причин: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 xml:space="preserve">- неосторожного обращения с огнем – 21 человек (88% от общего количества); 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по причине аварийного режима работы электрооборудования в жилом доме - 2 человека (8% от общего количества);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по причине поджога — 1 человек (4% от общего количества).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Гибель людей в 84% случаях допущена в жилом секторе (в квартирах, частных жилых домах). Гибель 4 человек (16%) допущена в иных местах: в коллекторе теплотрассы,в непосредственной близи теплотрассы и в неэксплуатируемом доме.</w:t>
      </w: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Рис.5. Количество травмированных людей </w:t>
      </w: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административным территориям г. Челябинска</w:t>
      </w:r>
    </w:p>
    <w:p w:rsidR="00113302" w:rsidRDefault="00113302">
      <w:pPr>
        <w:ind w:left="-180" w:firstLine="888"/>
        <w:jc w:val="both"/>
        <w:rPr>
          <w:b/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b/>
          <w:sz w:val="28"/>
          <w:szCs w:val="28"/>
        </w:rPr>
      </w:pP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jc w:val="center"/>
      </w:pPr>
      <w:bookmarkStart w:id="8" w:name="_1676459009"/>
      <w:bookmarkStart w:id="9" w:name="_1674543976"/>
      <w:bookmarkStart w:id="10" w:name="_1678700464"/>
      <w:bookmarkEnd w:id="8"/>
      <w:bookmarkEnd w:id="9"/>
      <w:bookmarkEnd w:id="10"/>
    </w:p>
    <w:p w:rsidR="00113302" w:rsidRDefault="00113302">
      <w:pPr>
        <w:jc w:val="center"/>
        <w:rPr>
          <w:b/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96020A">
      <w:pPr>
        <w:ind w:left="-180" w:firstLine="888"/>
        <w:jc w:val="both"/>
      </w:pPr>
      <w:r>
        <w:rPr>
          <w:sz w:val="28"/>
          <w:szCs w:val="28"/>
        </w:rPr>
        <w:t>Увеличение количества травмированных на пожарах людей наблюдается в  в Калининском (+4 случая), Ленинском (+3 случая), в Советском (+2 случая), в Курчатовском (+2 случая) районах, в Металлургическом (+1 случай) города Челябинска (рис.5).</w:t>
      </w:r>
    </w:p>
    <w:p w:rsidR="00113302" w:rsidRDefault="0096020A">
      <w:pPr>
        <w:ind w:left="-180" w:firstLine="888"/>
        <w:jc w:val="both"/>
      </w:pPr>
      <w:r>
        <w:rPr>
          <w:sz w:val="28"/>
          <w:szCs w:val="28"/>
        </w:rPr>
        <w:t>Снижение наблюдается в Тракторозаводском районе города Челябинска           (- 4 случая) (рис.5).</w:t>
      </w:r>
    </w:p>
    <w:p w:rsidR="00113302" w:rsidRDefault="0096020A">
      <w:pPr>
        <w:ind w:left="-180" w:firstLine="888"/>
        <w:jc w:val="both"/>
      </w:pPr>
      <w:r>
        <w:rPr>
          <w:sz w:val="28"/>
          <w:szCs w:val="28"/>
        </w:rPr>
        <w:t>На одном уровне количество травмированных в  Центральном районе (рис.5)</w:t>
      </w:r>
    </w:p>
    <w:p w:rsidR="00113302" w:rsidRDefault="00113302">
      <w:pPr>
        <w:ind w:left="-180" w:firstLine="888"/>
        <w:jc w:val="both"/>
        <w:rPr>
          <w:sz w:val="28"/>
          <w:szCs w:val="28"/>
        </w:rPr>
      </w:pPr>
    </w:p>
    <w:p w:rsidR="00113302" w:rsidRDefault="0096020A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Травмирование людей на пожарах произошло по причинам:</w:t>
      </w:r>
    </w:p>
    <w:p w:rsidR="00113302" w:rsidRDefault="0096020A">
      <w:pPr>
        <w:ind w:firstLine="540"/>
        <w:jc w:val="both"/>
      </w:pPr>
      <w:r>
        <w:rPr>
          <w:sz w:val="28"/>
          <w:szCs w:val="28"/>
        </w:rPr>
        <w:t>- неосторожного обращения с огнем  16 человек (40% от общего количества);</w:t>
      </w:r>
    </w:p>
    <w:p w:rsidR="00113302" w:rsidRDefault="0096020A">
      <w:pPr>
        <w:ind w:firstLine="540"/>
        <w:jc w:val="both"/>
      </w:pPr>
      <w:r>
        <w:rPr>
          <w:sz w:val="28"/>
          <w:szCs w:val="28"/>
        </w:rPr>
        <w:t>- аварийный режим работы электрооборудования 18 человек (45% от общего количества);</w:t>
      </w:r>
    </w:p>
    <w:p w:rsidR="00113302" w:rsidRDefault="0096020A">
      <w:pPr>
        <w:ind w:firstLine="540"/>
        <w:jc w:val="both"/>
      </w:pPr>
      <w:r>
        <w:rPr>
          <w:sz w:val="28"/>
          <w:szCs w:val="28"/>
        </w:rPr>
        <w:t>- воспламенение газовоздушной смеси 4 человека (10% от общего количества);</w:t>
      </w:r>
    </w:p>
    <w:p w:rsidR="00113302" w:rsidRDefault="00960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поджог 1 человек (2,5%);</w:t>
      </w:r>
    </w:p>
    <w:p w:rsidR="00113302" w:rsidRDefault="0096020A">
      <w:pPr>
        <w:ind w:firstLine="540"/>
        <w:jc w:val="both"/>
      </w:pPr>
      <w:r>
        <w:rPr>
          <w:sz w:val="28"/>
          <w:szCs w:val="28"/>
        </w:rPr>
        <w:lastRenderedPageBreak/>
        <w:t>-технологическая авария 1 человек (2,5%).</w:t>
      </w:r>
    </w:p>
    <w:p w:rsidR="00113302" w:rsidRDefault="00113302">
      <w:pPr>
        <w:ind w:firstLine="540"/>
        <w:jc w:val="both"/>
        <w:rPr>
          <w:sz w:val="28"/>
          <w:szCs w:val="28"/>
        </w:rPr>
      </w:pPr>
    </w:p>
    <w:p w:rsidR="00113302" w:rsidRDefault="0096020A">
      <w:pPr>
        <w:ind w:firstLine="540"/>
        <w:jc w:val="both"/>
      </w:pPr>
      <w:r>
        <w:rPr>
          <w:sz w:val="28"/>
          <w:szCs w:val="28"/>
        </w:rPr>
        <w:t>Травмирование людей допущено в 92% случаев в жилом секторе (квартиры, частные жилые дома, садовые дома), 8% получения травм на иных объектах (автомобиль, производство, пешеходный переход).</w:t>
      </w:r>
    </w:p>
    <w:p w:rsidR="00113302" w:rsidRDefault="00113302">
      <w:pPr>
        <w:jc w:val="both"/>
        <w:rPr>
          <w:sz w:val="28"/>
          <w:szCs w:val="28"/>
        </w:rPr>
      </w:pPr>
    </w:p>
    <w:p w:rsidR="00113302" w:rsidRDefault="0096020A">
      <w:pPr>
        <w:ind w:firstLine="709"/>
        <w:jc w:val="both"/>
      </w:pPr>
      <w:r>
        <w:rPr>
          <w:b/>
          <w:sz w:val="28"/>
          <w:szCs w:val="28"/>
        </w:rPr>
        <w:t>Одновременный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рост гибели и травмирования</w:t>
      </w:r>
      <w:r>
        <w:rPr>
          <w:sz w:val="28"/>
          <w:szCs w:val="28"/>
        </w:rPr>
        <w:t xml:space="preserve"> людей на пожарах зафиксирован в</w:t>
      </w:r>
      <w:r>
        <w:rPr>
          <w:b/>
          <w:sz w:val="28"/>
          <w:szCs w:val="28"/>
        </w:rPr>
        <w:t xml:space="preserve"> Металлургическом и Курчатовском районах </w:t>
      </w:r>
      <w:r>
        <w:rPr>
          <w:sz w:val="28"/>
          <w:szCs w:val="28"/>
        </w:rPr>
        <w:t>г. Челябинска (рис.3 и 5).</w:t>
      </w:r>
    </w:p>
    <w:p w:rsidR="00113302" w:rsidRDefault="00113302">
      <w:pPr>
        <w:ind w:firstLine="709"/>
        <w:jc w:val="both"/>
        <w:rPr>
          <w:sz w:val="28"/>
          <w:szCs w:val="28"/>
        </w:rPr>
      </w:pPr>
    </w:p>
    <w:p w:rsidR="00113302" w:rsidRDefault="009602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Рис.6.  Распределение количества пожаров за период </w:t>
      </w:r>
    </w:p>
    <w:p w:rsidR="00113302" w:rsidRDefault="0096020A">
      <w:pPr>
        <w:ind w:firstLine="709"/>
        <w:jc w:val="center"/>
      </w:pPr>
      <w:r>
        <w:rPr>
          <w:b/>
          <w:sz w:val="28"/>
          <w:szCs w:val="28"/>
        </w:rPr>
        <w:t xml:space="preserve">с 01 января по 31 августа 2021 года по основным объектам </w:t>
      </w:r>
    </w:p>
    <w:p w:rsidR="00113302" w:rsidRDefault="00113302">
      <w:pPr>
        <w:ind w:firstLine="709"/>
        <w:jc w:val="center"/>
        <w:rPr>
          <w:b/>
          <w:sz w:val="28"/>
          <w:szCs w:val="28"/>
        </w:rPr>
      </w:pPr>
    </w:p>
    <w:p w:rsidR="00113302" w:rsidRDefault="0096020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355600</wp:posOffset>
            </wp:positionV>
            <wp:extent cx="6596380" cy="3710305"/>
            <wp:effectExtent l="0" t="0" r="0" b="0"/>
            <wp:wrapSquare wrapText="largest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113302">
      <w:pPr>
        <w:ind w:firstLine="709"/>
        <w:jc w:val="both"/>
        <w:rPr>
          <w:b/>
          <w:sz w:val="28"/>
          <w:szCs w:val="28"/>
        </w:rPr>
      </w:pPr>
    </w:p>
    <w:p w:rsidR="00113302" w:rsidRDefault="0096020A">
      <w:pPr>
        <w:ind w:firstLine="709"/>
        <w:jc w:val="both"/>
      </w:pPr>
      <w:r>
        <w:rPr>
          <w:b/>
          <w:sz w:val="28"/>
          <w:szCs w:val="28"/>
        </w:rPr>
        <w:t>Значительное количество пожаров за истекший период 2021 года произошло в жилом секторе - 504 случая (таблица 1), что составляет 15%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 xml:space="preserve">общего количества пожаров. Зарегистрировано 2601 пожар вследствие возгорания мусора и сухой травянистой растительности, что от общего числа пожаров происшедших по г. Челябинску составляет 79%. </w:t>
      </w:r>
    </w:p>
    <w:p w:rsidR="00113302" w:rsidRDefault="00113302">
      <w:pPr>
        <w:ind w:firstLine="540"/>
        <w:jc w:val="both"/>
        <w:rPr>
          <w:sz w:val="28"/>
          <w:szCs w:val="28"/>
        </w:rPr>
      </w:pPr>
    </w:p>
    <w:p w:rsidR="00113302" w:rsidRDefault="0096020A">
      <w:pPr>
        <w:ind w:firstLine="709"/>
        <w:jc w:val="both"/>
      </w:pPr>
      <w:r>
        <w:rPr>
          <w:b/>
          <w:sz w:val="28"/>
          <w:szCs w:val="28"/>
        </w:rPr>
        <w:t xml:space="preserve">Рост пожаров в сравнении с АППГ установлен </w:t>
      </w:r>
      <w:r>
        <w:rPr>
          <w:sz w:val="28"/>
          <w:szCs w:val="28"/>
        </w:rPr>
        <w:t>(таблица №1)</w:t>
      </w:r>
      <w:r>
        <w:rPr>
          <w:b/>
          <w:sz w:val="28"/>
          <w:szCs w:val="28"/>
        </w:rPr>
        <w:t xml:space="preserve">: </w:t>
      </w:r>
    </w:p>
    <w:p w:rsidR="00113302" w:rsidRDefault="00113302">
      <w:pPr>
        <w:ind w:firstLine="709"/>
        <w:jc w:val="both"/>
        <w:rPr>
          <w:sz w:val="28"/>
          <w:szCs w:val="28"/>
        </w:rPr>
      </w:pPr>
    </w:p>
    <w:p w:rsidR="00113302" w:rsidRDefault="0096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объектах образования на 6 случаев (+300%), </w:t>
      </w:r>
    </w:p>
    <w:p w:rsidR="00113302" w:rsidRDefault="0096020A">
      <w:pPr>
        <w:ind w:firstLine="709"/>
        <w:jc w:val="both"/>
      </w:pPr>
      <w:r>
        <w:rPr>
          <w:i/>
          <w:iCs/>
        </w:rPr>
        <w:t>справочно</w:t>
      </w:r>
      <w:r>
        <w:rPr>
          <w:sz w:val="28"/>
          <w:szCs w:val="28"/>
        </w:rPr>
        <w:t>:</w:t>
      </w:r>
    </w:p>
    <w:p w:rsidR="00113302" w:rsidRDefault="0096020A">
      <w:pPr>
        <w:jc w:val="both"/>
      </w:pPr>
      <w:r>
        <w:rPr>
          <w:i/>
          <w:sz w:val="22"/>
          <w:szCs w:val="22"/>
        </w:rPr>
        <w:t xml:space="preserve">-  19.02.2021 ул. Ун. Набережная, 16А МАОУ СОШ № 124 </w:t>
      </w:r>
      <w:r>
        <w:rPr>
          <w:rStyle w:val="a6"/>
          <w:i/>
          <w:sz w:val="22"/>
          <w:szCs w:val="22"/>
        </w:rPr>
        <w:t xml:space="preserve">(пожар по причине неосторожного обращения с огнем), 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- 10.02.2021 ул.Энгельса, 79 в учебном корпусе № 2 Челябинского автотранспортного техникума (Пожар по причине НППБ при эксплуатации электрооборудования);</w:t>
      </w:r>
    </w:p>
    <w:p w:rsidR="00113302" w:rsidRDefault="0096020A">
      <w:pPr>
        <w:jc w:val="both"/>
      </w:pPr>
      <w:r>
        <w:rPr>
          <w:i/>
          <w:sz w:val="22"/>
          <w:szCs w:val="22"/>
        </w:rPr>
        <w:t xml:space="preserve">- </w:t>
      </w:r>
      <w:r>
        <w:rPr>
          <w:rStyle w:val="a6"/>
          <w:i/>
          <w:sz w:val="22"/>
          <w:szCs w:val="22"/>
        </w:rPr>
        <w:t xml:space="preserve">26.02.2021 пр Ленина,69  в Южно-уральском педагогическом унимверситете (пожар по причине неосторожного обращения с огнем), 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- 03.04.2021 ул.Чайковского,1 в здании общежития Челябинского государственного колледжа «Рост»  (Пожар по причине НППБ при эксплуатации электрооборудования)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- 17.04.2021 ул.Труда, 168 в здании общежития  УралГУФК  (Пожар по причине НППБ при эксплуатации электрооборудования);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- 30.04.2021 ул.Энгельса,81 в здании общежития Челябинского автотранспортного техникума  (Пожар по причине НППБ при эксплуатации электрооборудования);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- 12.06.2021 ул. Курчатова, 12 а детский сад;</w:t>
      </w:r>
    </w:p>
    <w:p w:rsidR="00113302" w:rsidRDefault="0096020A">
      <w:pPr>
        <w:jc w:val="both"/>
      </w:pPr>
      <w:r>
        <w:rPr>
          <w:rStyle w:val="a6"/>
          <w:i/>
          <w:sz w:val="22"/>
          <w:szCs w:val="22"/>
        </w:rPr>
        <w:t>- 12.06.2021 П.Калмыкова 27а детский сад.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на открытых территориях (на 88,2%);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на объектах производства на 10 случаев (+71,4%);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на иных объектах жилого сектора  на 47 случаев (+60,2%);</w:t>
      </w:r>
    </w:p>
    <w:p w:rsidR="00113302" w:rsidRDefault="0096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объектах здравоохранения на 3 случая (+50%), </w:t>
      </w:r>
    </w:p>
    <w:p w:rsidR="00113302" w:rsidRDefault="0096020A">
      <w:pPr>
        <w:ind w:firstLine="709"/>
        <w:jc w:val="both"/>
      </w:pPr>
      <w:r>
        <w:rPr>
          <w:i/>
          <w:iCs/>
        </w:rPr>
        <w:t>справочно</w:t>
      </w:r>
      <w:r>
        <w:rPr>
          <w:sz w:val="28"/>
          <w:szCs w:val="28"/>
        </w:rPr>
        <w:t>: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- 06</w:t>
      </w:r>
      <w:r>
        <w:rPr>
          <w:rStyle w:val="a6"/>
          <w:i/>
          <w:sz w:val="22"/>
          <w:szCs w:val="22"/>
        </w:rPr>
        <w:t xml:space="preserve">.02.2021 ул.Воровского, 15 в помещении МАУЗ ГКБ № 1  (пожар по причине аварийного режима работы электрооборудования) 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- 23</w:t>
      </w:r>
      <w:r>
        <w:rPr>
          <w:rStyle w:val="a6"/>
          <w:i/>
          <w:sz w:val="22"/>
          <w:szCs w:val="22"/>
        </w:rPr>
        <w:t xml:space="preserve">.02.2021 пр. Победы,287 в помещении ГБУЗ ОКБ № 3  (пожар по причине неосторожного обращения с огнем) 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- 24</w:t>
      </w:r>
      <w:r>
        <w:rPr>
          <w:rStyle w:val="a6"/>
          <w:i/>
          <w:sz w:val="22"/>
          <w:szCs w:val="22"/>
        </w:rPr>
        <w:t>.02.2021 ул.пер. Передовой, 4 в помещении МАУЗ ОЗП ГКБ № 8  (пожар по причине аварийного режима работы электрооборудования)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- 14</w:t>
      </w:r>
      <w:r>
        <w:rPr>
          <w:rStyle w:val="a6"/>
          <w:i/>
          <w:sz w:val="22"/>
          <w:szCs w:val="22"/>
        </w:rPr>
        <w:t>.03.2021 ул. Гагарина,18  в помещении ГБУЗ ОКБ № 2  (пожар по причине поджога)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- 16</w:t>
      </w:r>
      <w:r>
        <w:rPr>
          <w:rStyle w:val="a6"/>
          <w:i/>
          <w:sz w:val="22"/>
          <w:szCs w:val="22"/>
        </w:rPr>
        <w:t>.03.2021 ул.Блюхера,42 в помещении ГБУЗ Челябинская областная детская клиническая больница (пожар по причине неосторожного обращения с огнем)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- 06</w:t>
      </w:r>
      <w:r>
        <w:rPr>
          <w:rStyle w:val="a6"/>
          <w:i/>
          <w:sz w:val="22"/>
          <w:szCs w:val="22"/>
        </w:rPr>
        <w:t>.04.2021 ул.Татищева,249 в помещении ГБУЗ ЧОПАБ  (пожар по причине аварийного режима работы электрооборудования)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- 10</w:t>
      </w:r>
      <w:r>
        <w:rPr>
          <w:rStyle w:val="a6"/>
          <w:i/>
          <w:sz w:val="22"/>
          <w:szCs w:val="22"/>
        </w:rPr>
        <w:t xml:space="preserve">.04.2021 ул. Горького,28  в помещении МАУЗ ОЗП ГКБ № 8 (пожар по причине поджога) </w:t>
      </w:r>
      <w:r>
        <w:rPr>
          <w:sz w:val="28"/>
          <w:szCs w:val="28"/>
        </w:rPr>
        <w:t>;</w:t>
      </w:r>
    </w:p>
    <w:p w:rsidR="00113302" w:rsidRDefault="0096020A">
      <w:pPr>
        <w:jc w:val="both"/>
      </w:pPr>
      <w:r>
        <w:rPr>
          <w:i/>
          <w:sz w:val="22"/>
          <w:szCs w:val="22"/>
        </w:rPr>
        <w:t>- 15.06.2021 ул. Каслинская, 24А на фасаде клиники «Вся медицина»;</w:t>
      </w:r>
    </w:p>
    <w:p w:rsidR="00113302" w:rsidRDefault="0096020A">
      <w:pPr>
        <w:ind w:firstLine="709"/>
        <w:jc w:val="both"/>
      </w:pPr>
      <w:r>
        <w:rPr>
          <w:i/>
          <w:sz w:val="22"/>
          <w:szCs w:val="22"/>
        </w:rPr>
        <w:t>- 03.08.2021 ул. Захаренко,16 дом ребенка № 2</w:t>
      </w:r>
      <w:r>
        <w:rPr>
          <w:rStyle w:val="a6"/>
          <w:i/>
          <w:sz w:val="22"/>
          <w:szCs w:val="22"/>
        </w:rPr>
        <w:t xml:space="preserve"> (пожар по причине аварийного режима работы электрооборудования)</w:t>
      </w:r>
      <w:r>
        <w:rPr>
          <w:i/>
          <w:sz w:val="22"/>
          <w:szCs w:val="22"/>
        </w:rPr>
        <w:t>.</w:t>
      </w:r>
    </w:p>
    <w:p w:rsidR="00113302" w:rsidRDefault="0096020A">
      <w:pPr>
        <w:ind w:firstLine="709"/>
        <w:jc w:val="both"/>
      </w:pPr>
      <w:r>
        <w:rPr>
          <w:sz w:val="28"/>
          <w:szCs w:val="28"/>
        </w:rPr>
        <w:t>- в зданиях жилого назначения на 8 случаев (+4%).</w:t>
      </w:r>
    </w:p>
    <w:p w:rsidR="00113302" w:rsidRDefault="00113302">
      <w:pPr>
        <w:ind w:firstLine="709"/>
        <w:jc w:val="both"/>
        <w:rPr>
          <w:sz w:val="28"/>
          <w:szCs w:val="28"/>
        </w:rPr>
      </w:pPr>
    </w:p>
    <w:p w:rsidR="00113302" w:rsidRDefault="0096020A">
      <w:pPr>
        <w:ind w:firstLine="567"/>
      </w:pPr>
      <w:r>
        <w:rPr>
          <w:b/>
          <w:sz w:val="28"/>
          <w:szCs w:val="28"/>
        </w:rPr>
        <w:t xml:space="preserve">Снижение количества пожаров в сравнении с АППГ установлено </w:t>
      </w:r>
      <w:r>
        <w:rPr>
          <w:sz w:val="28"/>
          <w:szCs w:val="28"/>
        </w:rPr>
        <w:t>(рис.6):</w:t>
      </w:r>
    </w:p>
    <w:p w:rsidR="00113302" w:rsidRDefault="0096020A">
      <w:pPr>
        <w:ind w:firstLine="567"/>
        <w:jc w:val="both"/>
      </w:pPr>
      <w:r>
        <w:rPr>
          <w:sz w:val="28"/>
          <w:szCs w:val="28"/>
        </w:rPr>
        <w:t xml:space="preserve">-вследствие возгорания мусора в коллекторах на 8 случаев (-38%),                          </w:t>
      </w:r>
    </w:p>
    <w:p w:rsidR="00113302" w:rsidRDefault="0096020A">
      <w:pPr>
        <w:ind w:firstLine="567"/>
      </w:pPr>
      <w:r>
        <w:rPr>
          <w:sz w:val="28"/>
          <w:szCs w:val="28"/>
        </w:rPr>
        <w:t>- в садовых домах на 6 случаев (-6,6%);</w:t>
      </w:r>
    </w:p>
    <w:p w:rsidR="00113302" w:rsidRDefault="0096020A">
      <w:pPr>
        <w:ind w:firstLine="567"/>
      </w:pPr>
      <w:r>
        <w:rPr>
          <w:sz w:val="28"/>
          <w:szCs w:val="28"/>
        </w:rPr>
        <w:t>- на объектах транспорта на 10 случаев (-10,7%);</w:t>
      </w:r>
    </w:p>
    <w:p w:rsidR="00113302" w:rsidRDefault="0096020A">
      <w:pPr>
        <w:ind w:firstLine="567"/>
      </w:pPr>
      <w:r>
        <w:rPr>
          <w:sz w:val="28"/>
          <w:szCs w:val="28"/>
        </w:rPr>
        <w:t>- на объектах торговли на 11 случаев (-26,2%).</w:t>
      </w:r>
    </w:p>
    <w:p w:rsidR="00113302" w:rsidRDefault="00113302">
      <w:pPr>
        <w:ind w:left="-180" w:firstLine="888"/>
        <w:jc w:val="right"/>
        <w:rPr>
          <w:b/>
          <w:sz w:val="28"/>
          <w:szCs w:val="28"/>
        </w:rPr>
      </w:pPr>
    </w:p>
    <w:p w:rsidR="00113302" w:rsidRDefault="00113302">
      <w:pPr>
        <w:ind w:left="-180" w:firstLine="888"/>
        <w:jc w:val="right"/>
        <w:rPr>
          <w:b/>
          <w:sz w:val="28"/>
          <w:szCs w:val="28"/>
        </w:rPr>
      </w:pPr>
    </w:p>
    <w:p w:rsidR="00113302" w:rsidRDefault="00113302">
      <w:pPr>
        <w:ind w:left="-180" w:firstLine="888"/>
        <w:jc w:val="right"/>
        <w:rPr>
          <w:b/>
          <w:sz w:val="28"/>
          <w:szCs w:val="28"/>
        </w:rPr>
      </w:pPr>
    </w:p>
    <w:p w:rsidR="00113302" w:rsidRDefault="0096020A">
      <w:pPr>
        <w:ind w:left="-180" w:firstLine="88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№ 1. </w:t>
      </w:r>
    </w:p>
    <w:p w:rsidR="00113302" w:rsidRDefault="0096020A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количества пожаров</w:t>
      </w:r>
    </w:p>
    <w:p w:rsidR="00113302" w:rsidRDefault="0096020A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истекший период 2021 года по основным объектам</w:t>
      </w:r>
    </w:p>
    <w:tbl>
      <w:tblPr>
        <w:tblW w:w="10509" w:type="dxa"/>
        <w:tblInd w:w="-118" w:type="dxa"/>
        <w:tblLook w:val="0000" w:firstRow="0" w:lastRow="0" w:firstColumn="0" w:lastColumn="0" w:noHBand="0" w:noVBand="0"/>
      </w:tblPr>
      <w:tblGrid>
        <w:gridCol w:w="671"/>
        <w:gridCol w:w="4538"/>
        <w:gridCol w:w="1699"/>
        <w:gridCol w:w="1706"/>
        <w:gridCol w:w="1895"/>
      </w:tblGrid>
      <w:tr w:rsidR="00113302">
        <w:trPr>
          <w:trHeight w:val="52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к АППГ</w:t>
            </w:r>
          </w:p>
        </w:tc>
      </w:tr>
      <w:tr w:rsidR="00113302">
        <w:trPr>
          <w:trHeight w:val="40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Жилье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+7,2%</w:t>
            </w:r>
          </w:p>
        </w:tc>
      </w:tr>
      <w:tr w:rsidR="00113302">
        <w:trPr>
          <w:trHeight w:val="56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13302" w:rsidRDefault="00113302">
            <w:pPr>
              <w:jc w:val="both"/>
              <w:rPr>
                <w:sz w:val="26"/>
                <w:szCs w:val="26"/>
              </w:rPr>
            </w:pPr>
          </w:p>
          <w:p w:rsidR="00113302" w:rsidRDefault="001133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Здания для проживания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+4%</w:t>
            </w:r>
          </w:p>
        </w:tc>
      </w:tr>
      <w:tr w:rsidR="00113302">
        <w:trPr>
          <w:trHeight w:val="38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Садовые дома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-6,6%</w:t>
            </w:r>
          </w:p>
        </w:tc>
      </w:tr>
      <w:tr w:rsidR="00113302">
        <w:trPr>
          <w:trHeight w:val="24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 в зданиях жилого назначения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-14,8%</w:t>
            </w:r>
          </w:p>
        </w:tc>
      </w:tr>
      <w:tr w:rsidR="00113302">
        <w:trPr>
          <w:trHeight w:val="2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Иные объекты жилого сектора</w:t>
            </w:r>
          </w:p>
          <w:p w:rsidR="00113302" w:rsidRDefault="0096020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(сараи, бани, гаражи и т.п.)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+60,2%</w:t>
            </w:r>
          </w:p>
        </w:tc>
      </w:tr>
      <w:tr w:rsidR="00113302">
        <w:trPr>
          <w:trHeight w:val="244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Мусор, трава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+50,2%</w:t>
            </w:r>
          </w:p>
        </w:tc>
      </w:tr>
      <w:tr w:rsidR="00113302">
        <w:trPr>
          <w:trHeight w:val="17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Мусор на спецплощадках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+0,8%</w:t>
            </w:r>
          </w:p>
        </w:tc>
      </w:tr>
      <w:tr w:rsidR="00113302">
        <w:trPr>
          <w:trHeight w:val="20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 в коллекторах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tabs>
                <w:tab w:val="left" w:pos="429"/>
                <w:tab w:val="center" w:pos="5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-38%</w:t>
            </w:r>
          </w:p>
        </w:tc>
      </w:tr>
      <w:tr w:rsidR="00113302">
        <w:trPr>
          <w:trHeight w:val="31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Мусор в заброшенных зданиях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113302">
        <w:trPr>
          <w:trHeight w:val="31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Открытые территории (поля, дворы, обочины дорог, территории СНТ)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+88,2%</w:t>
            </w:r>
          </w:p>
        </w:tc>
      </w:tr>
      <w:tr w:rsidR="00113302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-10,7%</w:t>
            </w:r>
          </w:p>
        </w:tc>
      </w:tr>
      <w:tr w:rsidR="00113302">
        <w:trPr>
          <w:trHeight w:val="328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общественного назначения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+26,6%</w:t>
            </w:r>
          </w:p>
        </w:tc>
      </w:tr>
      <w:tr w:rsidR="00113302">
        <w:trPr>
          <w:trHeight w:val="2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113302" w:rsidRDefault="001133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+300%</w:t>
            </w:r>
          </w:p>
        </w:tc>
      </w:tr>
      <w:tr w:rsidR="00113302">
        <w:trPr>
          <w:trHeight w:val="1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+50%</w:t>
            </w:r>
          </w:p>
        </w:tc>
      </w:tr>
      <w:tr w:rsidR="00113302">
        <w:trPr>
          <w:trHeight w:val="28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02" w:rsidRDefault="00113302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соц.сферы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-71,4%</w:t>
            </w:r>
          </w:p>
        </w:tc>
      </w:tr>
      <w:tr w:rsidR="00113302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Торговые объекты, склады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-26,2%</w:t>
            </w:r>
          </w:p>
        </w:tc>
      </w:tr>
      <w:tr w:rsidR="00113302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+71,4%</w:t>
            </w:r>
          </w:p>
        </w:tc>
      </w:tr>
      <w:tr w:rsidR="00113302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объекты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-5,6%</w:t>
            </w:r>
          </w:p>
        </w:tc>
      </w:tr>
    </w:tbl>
    <w:p w:rsidR="00113302" w:rsidRDefault="00113302">
      <w:pPr>
        <w:jc w:val="center"/>
      </w:pPr>
    </w:p>
    <w:p w:rsidR="00113302" w:rsidRDefault="00113302">
      <w:pPr>
        <w:jc w:val="center"/>
        <w:rPr>
          <w:b/>
        </w:rPr>
      </w:pPr>
    </w:p>
    <w:p w:rsidR="00113302" w:rsidRDefault="009602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Рис. 7. Распределение количества пожаров по основным причинам </w:t>
      </w:r>
    </w:p>
    <w:p w:rsidR="00113302" w:rsidRDefault="009602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истекший период 2021 года </w:t>
      </w:r>
    </w:p>
    <w:p w:rsidR="00113302" w:rsidRDefault="00113302">
      <w:pPr>
        <w:jc w:val="center"/>
        <w:rPr>
          <w:b/>
        </w:rPr>
      </w:pPr>
    </w:p>
    <w:p w:rsidR="00113302" w:rsidRDefault="0096020A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center"/>
        <w:rPr>
          <w:b/>
        </w:rPr>
      </w:pPr>
    </w:p>
    <w:p w:rsidR="00113302" w:rsidRDefault="00113302">
      <w:pPr>
        <w:jc w:val="right"/>
        <w:rPr>
          <w:b/>
          <w:sz w:val="26"/>
          <w:szCs w:val="26"/>
        </w:rPr>
      </w:pPr>
    </w:p>
    <w:p w:rsidR="00113302" w:rsidRDefault="0096020A">
      <w:pPr>
        <w:spacing w:line="276" w:lineRule="auto"/>
        <w:ind w:firstLine="540"/>
        <w:jc w:val="both"/>
      </w:pPr>
      <w:r>
        <w:rPr>
          <w:sz w:val="28"/>
          <w:szCs w:val="28"/>
        </w:rPr>
        <w:lastRenderedPageBreak/>
        <w:t xml:space="preserve">За анализируемый период </w:t>
      </w:r>
      <w:r>
        <w:rPr>
          <w:b/>
          <w:sz w:val="28"/>
          <w:szCs w:val="28"/>
        </w:rPr>
        <w:t xml:space="preserve">наибольшее количество пожаров произошло по причинам </w:t>
      </w:r>
      <w:r>
        <w:rPr>
          <w:sz w:val="28"/>
          <w:szCs w:val="28"/>
        </w:rPr>
        <w:t>(рис.7)</w:t>
      </w:r>
      <w:r>
        <w:rPr>
          <w:b/>
          <w:sz w:val="28"/>
          <w:szCs w:val="28"/>
        </w:rPr>
        <w:t xml:space="preserve">: </w:t>
      </w:r>
    </w:p>
    <w:p w:rsidR="00113302" w:rsidRDefault="0096020A">
      <w:pPr>
        <w:spacing w:line="276" w:lineRule="auto"/>
        <w:ind w:firstLine="720"/>
        <w:jc w:val="both"/>
      </w:pPr>
      <w:r>
        <w:rPr>
          <w:b/>
          <w:sz w:val="28"/>
          <w:szCs w:val="28"/>
        </w:rPr>
        <w:t>- в результате неосторожного обращения с огнем зарегистрировано 2898 пожаров (87,4% от всего количества пожаров);</w:t>
      </w:r>
    </w:p>
    <w:p w:rsidR="00113302" w:rsidRDefault="0096020A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- в результате нарушения правил устройства и эксплуатации электрооборудования зарегистрировано 237 пожара (7,2% от общего количества пожаров); </w:t>
      </w:r>
    </w:p>
    <w:p w:rsidR="00113302" w:rsidRDefault="0096020A">
      <w:pPr>
        <w:spacing w:line="276" w:lineRule="auto"/>
        <w:ind w:firstLine="720"/>
        <w:jc w:val="both"/>
      </w:pPr>
      <w:r>
        <w:rPr>
          <w:sz w:val="28"/>
          <w:szCs w:val="28"/>
        </w:rPr>
        <w:t>- из-за поджогов зарегистрировано 98 пожаров (3% от всего количества пожаров);</w:t>
      </w:r>
    </w:p>
    <w:p w:rsidR="00113302" w:rsidRDefault="0096020A">
      <w:pPr>
        <w:spacing w:line="276" w:lineRule="auto"/>
        <w:ind w:firstLine="720"/>
        <w:jc w:val="both"/>
      </w:pPr>
      <w:r>
        <w:rPr>
          <w:sz w:val="28"/>
          <w:szCs w:val="28"/>
        </w:rPr>
        <w:t>- в результате нарушения правил устройства и эксплуатации транспортных средств зарегистрировано 39 пожаров (1,2% от общего количества пожаров);</w:t>
      </w:r>
    </w:p>
    <w:p w:rsidR="00113302" w:rsidRDefault="0096020A">
      <w:pPr>
        <w:spacing w:line="276" w:lineRule="auto"/>
        <w:ind w:firstLine="720"/>
        <w:jc w:val="both"/>
      </w:pPr>
      <w:r>
        <w:rPr>
          <w:sz w:val="28"/>
          <w:szCs w:val="28"/>
        </w:rPr>
        <w:t>- в виду нарушения правил устройства и эксплуатации отопительных печей зарегистрировано 27 пожаров (0,8% от общего количества пожаров);</w:t>
      </w:r>
    </w:p>
    <w:p w:rsidR="00113302" w:rsidRDefault="0096020A">
      <w:pPr>
        <w:spacing w:line="276" w:lineRule="auto"/>
        <w:ind w:firstLine="720"/>
        <w:jc w:val="both"/>
      </w:pPr>
      <w:r>
        <w:rPr>
          <w:sz w:val="28"/>
          <w:szCs w:val="28"/>
        </w:rPr>
        <w:t>- по прочим причинам (огневые работы, нарушение ППБ при эксплуатации газового оборудовании, взрывы) произошло 13 пожаров (0,4% от общего количества пожаров).</w:t>
      </w:r>
    </w:p>
    <w:p w:rsidR="00113302" w:rsidRDefault="00113302">
      <w:pPr>
        <w:spacing w:line="276" w:lineRule="auto"/>
        <w:ind w:firstLine="720"/>
        <w:jc w:val="both"/>
        <w:rPr>
          <w:sz w:val="28"/>
          <w:szCs w:val="28"/>
        </w:rPr>
      </w:pPr>
    </w:p>
    <w:p w:rsidR="00113302" w:rsidRDefault="0096020A">
      <w:pPr>
        <w:spacing w:line="276" w:lineRule="auto"/>
        <w:ind w:firstLine="540"/>
        <w:jc w:val="both"/>
      </w:pPr>
      <w:r>
        <w:rPr>
          <w:b/>
          <w:sz w:val="28"/>
          <w:szCs w:val="28"/>
        </w:rPr>
        <w:t xml:space="preserve">Увеличение наблюдается по причине неосторожного обращения с огнём (+44%), аварийного режима работы электрооборудования (+13,4%), в результате поджогов (+5,3%). </w:t>
      </w:r>
    </w:p>
    <w:p w:rsidR="00113302" w:rsidRDefault="0096020A">
      <w:pPr>
        <w:spacing w:line="276" w:lineRule="auto"/>
        <w:ind w:firstLine="540"/>
        <w:jc w:val="both"/>
      </w:pPr>
      <w:r>
        <w:rPr>
          <w:b/>
          <w:sz w:val="28"/>
          <w:szCs w:val="28"/>
        </w:rPr>
        <w:t xml:space="preserve">Снижение количества пожаров в связи с нарушением эксплуатации печного отопления (на 30,7%), в связи с неисправностью ТС на 3 случая (-7,1%). (Таблица №2). </w:t>
      </w:r>
    </w:p>
    <w:p w:rsidR="00113302" w:rsidRDefault="00113302">
      <w:pPr>
        <w:ind w:firstLine="540"/>
        <w:jc w:val="right"/>
        <w:rPr>
          <w:b/>
          <w:sz w:val="28"/>
          <w:szCs w:val="28"/>
        </w:rPr>
      </w:pPr>
    </w:p>
    <w:p w:rsidR="00113302" w:rsidRDefault="00113302">
      <w:pPr>
        <w:ind w:firstLine="540"/>
        <w:jc w:val="right"/>
        <w:rPr>
          <w:b/>
          <w:sz w:val="28"/>
          <w:szCs w:val="28"/>
        </w:rPr>
      </w:pPr>
    </w:p>
    <w:p w:rsidR="00113302" w:rsidRDefault="0096020A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2.</w:t>
      </w:r>
    </w:p>
    <w:p w:rsidR="00113302" w:rsidRDefault="0096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количества пожаров </w:t>
      </w:r>
    </w:p>
    <w:p w:rsidR="00113302" w:rsidRDefault="0096020A">
      <w:pPr>
        <w:jc w:val="center"/>
      </w:pPr>
      <w:r>
        <w:t xml:space="preserve">по основным причинам за истекший период 2021 года </w:t>
      </w:r>
    </w:p>
    <w:tbl>
      <w:tblPr>
        <w:tblW w:w="9495" w:type="dxa"/>
        <w:jc w:val="center"/>
        <w:tblLook w:val="0000" w:firstRow="0" w:lastRow="0" w:firstColumn="0" w:lastColumn="0" w:noHBand="0" w:noVBand="0"/>
      </w:tblPr>
      <w:tblGrid>
        <w:gridCol w:w="4701"/>
        <w:gridCol w:w="1631"/>
        <w:gridCol w:w="1416"/>
        <w:gridCol w:w="1747"/>
      </w:tblGrid>
      <w:tr w:rsidR="00113302">
        <w:trPr>
          <w:trHeight w:val="323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АППГ</w:t>
            </w:r>
          </w:p>
        </w:tc>
      </w:tr>
      <w:tr w:rsidR="00113302">
        <w:trPr>
          <w:trHeight w:val="287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Неосторожное обращение с огнем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2898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+44%</w:t>
            </w:r>
          </w:p>
        </w:tc>
      </w:tr>
      <w:tr w:rsidR="00113302">
        <w:trPr>
          <w:trHeight w:val="169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Поджоги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+5,3%</w:t>
            </w:r>
          </w:p>
        </w:tc>
      </w:tr>
      <w:tr w:rsidR="00113302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b/>
                <w:sz w:val="28"/>
                <w:szCs w:val="28"/>
              </w:rPr>
              <w:t>+13,4%</w:t>
            </w:r>
          </w:p>
        </w:tc>
      </w:tr>
      <w:tr w:rsidR="00113302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транспортного средства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-7,1%</w:t>
            </w:r>
          </w:p>
        </w:tc>
      </w:tr>
      <w:tr w:rsidR="00113302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эксплуатации отопительных печей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-30,7%</w:t>
            </w:r>
          </w:p>
        </w:tc>
      </w:tr>
      <w:tr w:rsidR="00113302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(огневые, ремонтные работы, техногенные аварии и др.)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02" w:rsidRDefault="0096020A">
            <w:pPr>
              <w:jc w:val="center"/>
            </w:pPr>
            <w:r>
              <w:rPr>
                <w:sz w:val="28"/>
                <w:szCs w:val="28"/>
              </w:rPr>
              <w:t>-55%</w:t>
            </w:r>
          </w:p>
        </w:tc>
      </w:tr>
    </w:tbl>
    <w:p w:rsidR="00113302" w:rsidRDefault="00113302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96020A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96020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Наибольшее количество пожаров (56) на территории города Челябинска произошло в результате возгорания мусора, пуха и сухой травянистой растительности.</w:t>
      </w:r>
    </w:p>
    <w:p w:rsidR="00113302" w:rsidRDefault="0096020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Значительное увеличение числа пожаров в сравнении с АППГ произошло на объектах образования (+300%), здравоохранения(+50%), а также на объектах производства (+71,4%).</w:t>
      </w:r>
    </w:p>
    <w:p w:rsidR="00113302" w:rsidRDefault="0096020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Рост пожаров зафиксирован на объектах жилого назначения, а именно: на иных объектах жилого сектора (+60,2%.) и в зданиях для проживания людей (+4%). Кроме этого в жилье зафиксировано превышение показателей гибели (+4%) и травматизма (+25%) людей на пожарах.</w:t>
      </w:r>
    </w:p>
    <w:p w:rsidR="00113302" w:rsidRDefault="0096020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Одновременный рост гибели и травмирования людей на пожарах зафиксирован в </w:t>
      </w:r>
      <w:r>
        <w:rPr>
          <w:b/>
          <w:bCs/>
          <w:sz w:val="28"/>
          <w:szCs w:val="28"/>
        </w:rPr>
        <w:t>Металлургическом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Курчатовском</w:t>
      </w:r>
      <w:r>
        <w:rPr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районах города Челябинска.</w:t>
      </w:r>
    </w:p>
    <w:p w:rsidR="00113302" w:rsidRDefault="00113302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113302" w:rsidRDefault="0096020A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113302" w:rsidRDefault="0011330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Продолжить работу патрульно-контрольных групп на территории города Челябинска с учетом очагов возгорания мусора и сухой травянистой растительности.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проведение рейдовых осмотров территорий г. Челябинска, в том числе садоводства и огородничества, подверженных угрозе ландшафтных пожаров. При выявлении нарушений требований пожарной безопасности в ходе рейдов выдавать предостережения о недопустимости нарушений обязательных требований, принимать все меры в соответствии с действующим законодательством, а также информировать органы местного самоуправления, органы прокуратуры. 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C9211E"/>
        </w:rPr>
      </w:pPr>
      <w:r>
        <w:rPr>
          <w:color w:val="C9211E"/>
          <w:sz w:val="28"/>
          <w:szCs w:val="28"/>
        </w:rPr>
        <w:t>Принять меры по усилению профилактической работы, в том числе с привлечением СМИ, по предотвращению выжигания сухой травянистой растительности и сжигания мусора, разведения кострой на территории города Челябинска.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пожаров в жилом секторе, а также последствий от них — продолжить проведение профилактических мероприятий в жилом секторе (в многоквартирных, индивидуальных, садовых жилых домах), с привлечением СМИ. При проведении профилактических мероприятий обращать внимание собственников зданий, помещений на правила эксплуатации электрооборудования, газового оборудования, печного отопления, на надлежащее содержание территории домовладений.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При проведении профилактических мероприятий в жилом секторе (в многоквартирных, индивидуальных, садовых жилых домах) доводить до населения информацию </w:t>
      </w:r>
      <w:r>
        <w:rPr>
          <w:bCs/>
          <w:sz w:val="28"/>
          <w:szCs w:val="28"/>
        </w:rPr>
        <w:t xml:space="preserve">об эффективности использования автономных дымовых пожарных извещателей (в том числе с </w:t>
      </w:r>
      <w:r>
        <w:rPr>
          <w:bCs/>
          <w:sz w:val="28"/>
          <w:szCs w:val="28"/>
          <w:lang w:val="en-US"/>
        </w:rPr>
        <w:t>GSM</w:t>
      </w:r>
      <w:r>
        <w:rPr>
          <w:bCs/>
          <w:sz w:val="28"/>
          <w:szCs w:val="28"/>
        </w:rPr>
        <w:t>-модулями).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Активизировать работу по установке автономных пожарных извещателей в семьях социально неблагополучных и/или многодетных, состоящих на профилактическом учете в органах социальной защиты, а также категории граждан одиноко проживающих инвалидов и престарелых.</w:t>
      </w:r>
    </w:p>
    <w:p w:rsidR="00113302" w:rsidRDefault="0096020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Проинформировать соответствующие министерства, ведомства и учреждения о росте пожаров на вверенных им объектах, провести дополнительные профилактические мероприятия по соблюдению мер пожарной безопасности на объектах здравоохранения, образования и производства.</w:t>
      </w:r>
      <w:r>
        <w:rPr>
          <w:b/>
          <w:sz w:val="28"/>
          <w:szCs w:val="28"/>
        </w:rPr>
        <w:t xml:space="preserve"> </w:t>
      </w:r>
    </w:p>
    <w:p w:rsidR="00113302" w:rsidRDefault="00113302">
      <w:pPr>
        <w:spacing w:line="276" w:lineRule="auto"/>
        <w:ind w:firstLine="708"/>
        <w:jc w:val="both"/>
      </w:pPr>
    </w:p>
    <w:sectPr w:rsidR="00113302">
      <w:footerReference w:type="default" r:id="rId15"/>
      <w:footerReference w:type="first" r:id="rId16"/>
      <w:pgSz w:w="11906" w:h="16838"/>
      <w:pgMar w:top="426" w:right="707" w:bottom="567" w:left="907" w:header="0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0A" w:rsidRDefault="0096020A">
      <w:r>
        <w:separator/>
      </w:r>
    </w:p>
  </w:endnote>
  <w:endnote w:type="continuationSeparator" w:id="0">
    <w:p w:rsidR="0096020A" w:rsidRDefault="009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02" w:rsidRDefault="0096020A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8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3302" w:rsidRDefault="0096020A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C00EA4">
                            <w:rPr>
                              <w:rStyle w:val="a3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95pt;z-index:-50331647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tp7gEAACEEAAAOAAAAZHJzL2Uyb0RvYy54bWysU81u1DAQviPxDpbvbJIVaqvVZitEVYSE&#10;oKLwAI5jbyz5T2N3k73xDDwJF4TEU4Q3YuykWVpORVycsWe+b+abmWwvB6PJQUBQzta0WpWUCMtd&#10;q+y+pp8/Xb+4oCREZlumnRU1PYpAL3fPn217vxFr1zndCiBIYsOm9zXtYvSbogi8E4aFlfPColM6&#10;MCziFfZFC6xHdqOLdVmeFb2D1oPjIgR8vZqcdJf5pRQ8fpAyiEh0TbG2mE/IZ5POYrdlmz0w3yk+&#10;l8H+oQrDlMWkC9UVi4zcgfqLyigOLjgZV9yZwkmpuMgaUE1VPlJz2zEvshZsTvBLm8L/o+XvDzdA&#10;VFtTHJRlBkc0fv31Zfw+/hh/jt+q1KDehw3G3fobmG8BzaR2kGDSF3WQITf1uDRVDJFwfDy/qNbY&#10;eY6e6vzsZZl7XpywHkJ8I5whyagp4MhyJ9nhXYiYD0PvQ1Iq666V1nls2pIe+ZH9gQMB2iIulT0V&#10;mq141CLFaftRSFSc600PgcO+ea2BTGuBe4vl3i9HJkNACpSY+InYGZLQIm/jE/ELKOd3Ni54o6yD&#10;NJ1J56QuCY1DM8xjalx7xOnqtxY3JvWJxJMJJ7NZzJTGuld30UmVm58YJ5o5E+5hnsn8z6RF//Oe&#10;o05/9u43AAAA//8DAFBLAwQUAAYACAAAACEAo1yqptcAAAADAQAADwAAAGRycy9kb3ducmV2Lnht&#10;bEyPwU7DMBBE70j8g7VI3KjdCKES4lQIBBwRAcp1Gy9J1Hidxts2/D3OCY47M5p5W6wn36sjjbEL&#10;bGG5MKCI6+A6bix8vD9drUBFQXbYByYLPxRhXZ6fFZi7cOI3OlbSqFTCMUcLrciQax3rljzGRRiI&#10;k/cdRo+SzrHRbsRTKve9zoy50R47TgstDvTQUr2rDt5CJeb1cUdL87V/fon7DWe39Lmx9vJiur8D&#10;JTTJXxhm/IQOZWLahgO7qHoL6RGZVTV72TWorYVsZUCXhf7PXv4CAAD//wMAUEsBAi0AFAAGAAgA&#10;AAAhALaDOJL+AAAA4QEAABMAAAAAAAAAAAAAAAAAAAAAAFtDb250ZW50X1R5cGVzXS54bWxQSwEC&#10;LQAUAAYACAAAACEAOP0h/9YAAACUAQAACwAAAAAAAAAAAAAAAAAvAQAAX3JlbHMvLnJlbHNQSwEC&#10;LQAUAAYACAAAACEAh7urae4BAAAhBAAADgAAAAAAAAAAAAAAAAAuAgAAZHJzL2Uyb0RvYy54bWxQ&#10;SwECLQAUAAYACAAAACEAo1yqptcAAAADAQAADwAAAAAAAAAAAAAAAABIBAAAZHJzL2Rvd25yZXYu&#10;eG1sUEsFBgAAAAAEAAQA8wAAAEwFAAAAAA==&#10;" filled="f" stroked="f" strokeweight=".02mm">
              <v:textbox inset=".02mm,.02mm,.02mm,.02mm">
                <w:txbxContent>
                  <w:p w:rsidR="00113302" w:rsidRDefault="0096020A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C00EA4">
                      <w:rPr>
                        <w:rStyle w:val="a3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02" w:rsidRDefault="001133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0A" w:rsidRDefault="0096020A">
      <w:r>
        <w:separator/>
      </w:r>
    </w:p>
  </w:footnote>
  <w:footnote w:type="continuationSeparator" w:id="0">
    <w:p w:rsidR="0096020A" w:rsidRDefault="0096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98E"/>
    <w:multiLevelType w:val="multilevel"/>
    <w:tmpl w:val="9410B2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2163D0"/>
    <w:multiLevelType w:val="multilevel"/>
    <w:tmpl w:val="FF40E612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EB00F5"/>
    <w:multiLevelType w:val="multilevel"/>
    <w:tmpl w:val="C8248CC8"/>
    <w:lvl w:ilvl="0">
      <w:start w:val="1"/>
      <w:numFmt w:val="decimal"/>
      <w:lvlText w:val="%1."/>
      <w:lvlJc w:val="left"/>
      <w:pPr>
        <w:ind w:left="927" w:hanging="360"/>
      </w:pPr>
      <w:rPr>
        <w:b w:val="0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2D3CFF"/>
    <w:multiLevelType w:val="multilevel"/>
    <w:tmpl w:val="67E88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2"/>
    <w:rsid w:val="00113302"/>
    <w:rsid w:val="0096020A"/>
    <w:rsid w:val="00C00EA4"/>
    <w:rsid w:val="00F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hAnsi="Times New Roman" w:cs="Times New Roman"/>
      <w:color w:val="000000"/>
    </w:rPr>
  </w:style>
  <w:style w:type="character" w:customStyle="1" w:styleId="WW8Num5z2">
    <w:name w:val="WW8Num5z2"/>
    <w:qFormat/>
    <w:rPr>
      <w:rFonts w:ascii="Arial" w:hAnsi="Arial" w:cs="Arial"/>
      <w:color w:val="000000"/>
    </w:rPr>
  </w:style>
  <w:style w:type="character" w:styleId="a3">
    <w:name w:val="page number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3 Знак"/>
    <w:qFormat/>
    <w:rPr>
      <w:sz w:val="16"/>
      <w:szCs w:val="16"/>
      <w:lang w:val="ru-RU"/>
    </w:rPr>
  </w:style>
  <w:style w:type="character" w:customStyle="1" w:styleId="a5">
    <w:name w:val="Название Знак"/>
    <w:qFormat/>
    <w:rPr>
      <w:b/>
      <w:iCs/>
      <w:spacing w:val="-2"/>
      <w:sz w:val="28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Pr>
      <w:rFonts w:ascii="Times New Roman" w:hAnsi="Times New Roman" w:cs="Times New Roman"/>
      <w:spacing w:val="10"/>
      <w:sz w:val="20"/>
      <w:szCs w:val="20"/>
    </w:rPr>
  </w:style>
  <w:style w:type="character" w:styleId="a7">
    <w:name w:val="Emphasis"/>
    <w:qFormat/>
    <w:rPr>
      <w:i/>
      <w:iCs/>
    </w:rPr>
  </w:style>
  <w:style w:type="paragraph" w:customStyle="1" w:styleId="10">
    <w:name w:val="Заголовок1"/>
    <w:basedOn w:val="a"/>
    <w:next w:val="a8"/>
    <w:qFormat/>
    <w:pPr>
      <w:jc w:val="center"/>
      <w:textAlignment w:val="baseline"/>
    </w:pPr>
    <w:rPr>
      <w:b/>
      <w:iCs/>
      <w:spacing w:val="-2"/>
      <w:sz w:val="28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09"/>
      <w:jc w:val="both"/>
      <w:textAlignment w:val="baseline"/>
    </w:pPr>
    <w:rPr>
      <w:rFonts w:eastAsia="MS Mincho;ＭＳ 明朝"/>
      <w:spacing w:val="-2"/>
      <w:sz w:val="28"/>
      <w:szCs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hAnsi="Times New Roman" w:cs="Times New Roman"/>
      <w:color w:val="000000"/>
    </w:rPr>
  </w:style>
  <w:style w:type="character" w:customStyle="1" w:styleId="WW8Num5z2">
    <w:name w:val="WW8Num5z2"/>
    <w:qFormat/>
    <w:rPr>
      <w:rFonts w:ascii="Arial" w:hAnsi="Arial" w:cs="Arial"/>
      <w:color w:val="000000"/>
    </w:rPr>
  </w:style>
  <w:style w:type="character" w:styleId="a3">
    <w:name w:val="page number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3 Знак"/>
    <w:qFormat/>
    <w:rPr>
      <w:sz w:val="16"/>
      <w:szCs w:val="16"/>
      <w:lang w:val="ru-RU"/>
    </w:rPr>
  </w:style>
  <w:style w:type="character" w:customStyle="1" w:styleId="a5">
    <w:name w:val="Название Знак"/>
    <w:qFormat/>
    <w:rPr>
      <w:b/>
      <w:iCs/>
      <w:spacing w:val="-2"/>
      <w:sz w:val="28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Pr>
      <w:rFonts w:ascii="Times New Roman" w:hAnsi="Times New Roman" w:cs="Times New Roman"/>
      <w:spacing w:val="10"/>
      <w:sz w:val="20"/>
      <w:szCs w:val="20"/>
    </w:rPr>
  </w:style>
  <w:style w:type="character" w:styleId="a7">
    <w:name w:val="Emphasis"/>
    <w:qFormat/>
    <w:rPr>
      <w:i/>
      <w:iCs/>
    </w:rPr>
  </w:style>
  <w:style w:type="paragraph" w:customStyle="1" w:styleId="10">
    <w:name w:val="Заголовок1"/>
    <w:basedOn w:val="a"/>
    <w:next w:val="a8"/>
    <w:qFormat/>
    <w:pPr>
      <w:jc w:val="center"/>
      <w:textAlignment w:val="baseline"/>
    </w:pPr>
    <w:rPr>
      <w:b/>
      <w:iCs/>
      <w:spacing w:val="-2"/>
      <w:sz w:val="28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09"/>
      <w:jc w:val="both"/>
      <w:textAlignment w:val="baseline"/>
    </w:pPr>
    <w:rPr>
      <w:rFonts w:eastAsia="MS Mincho;ＭＳ 明朝"/>
      <w:spacing w:val="-2"/>
      <w:sz w:val="28"/>
      <w:szCs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1"/>
      <c:rotY val="25"/>
      <c:rAngAx val="1"/>
    </c:view3D>
    <c:floor>
      <c:thickness val="0"/>
      <c:spPr>
        <a:solidFill>
          <a:srgbClr val="CCCCCC"/>
        </a:solidFill>
        <a:ln w="9360">
          <a:noFill/>
        </a:ln>
      </c:spPr>
    </c:floor>
    <c:sideWall>
      <c:thickness val="0"/>
      <c:spPr>
        <a:noFill/>
        <a:ln w="9360">
          <a:solidFill>
            <a:srgbClr val="B3B3B3"/>
          </a:solidFill>
          <a:round/>
        </a:ln>
      </c:spPr>
    </c:sideWall>
    <c:backWall>
      <c:thickness val="0"/>
      <c:spPr>
        <a:noFill/>
        <a:ln w="9360">
          <a:solidFill>
            <a:srgbClr val="B3B3B3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7.7187500000000006E-2"/>
          <c:y val="0"/>
          <c:w val="0.79749999999999999"/>
          <c:h val="0.888333333333332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2422</c:v>
                </c:pt>
                <c:pt idx="1">
                  <c:v>23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C-4418-B3F5-E3FBC3B1A0ED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3312</c:v>
                </c:pt>
                <c:pt idx="1">
                  <c:v>24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8C-4418-B3F5-E3FBC3B1A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19057152"/>
        <c:axId val="203688768"/>
        <c:axId val="0"/>
      </c:bar3DChart>
      <c:catAx>
        <c:axId val="21905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03688768"/>
        <c:crosses val="autoZero"/>
        <c:auto val="1"/>
        <c:lblAlgn val="ctr"/>
        <c:lblOffset val="100"/>
        <c:noMultiLvlLbl val="0"/>
      </c:catAx>
      <c:valAx>
        <c:axId val="203688768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19057152"/>
        <c:crosses val="autoZero"/>
        <c:crossBetween val="between"/>
      </c:valAx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gap"/>
    <c:showDLblsOverMax val="1"/>
  </c:chart>
  <c:spPr>
    <a:noFill/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1"/>
      <c:rotY val="25"/>
      <c:rAngAx val="1"/>
    </c:view3D>
    <c:floor>
      <c:thickness val="0"/>
      <c:spPr>
        <a:solidFill>
          <a:srgbClr val="CCCCCC"/>
        </a:solidFill>
        <a:ln w="9360">
          <a:noFill/>
        </a:ln>
      </c:spPr>
    </c:floor>
    <c:sideWall>
      <c:thickness val="0"/>
      <c:spPr>
        <a:noFill/>
        <a:ln w="9360">
          <a:solidFill>
            <a:srgbClr val="B3B3B3"/>
          </a:solidFill>
          <a:round/>
        </a:ln>
      </c:spPr>
    </c:sideWall>
    <c:backWall>
      <c:thickness val="0"/>
      <c:spPr>
        <a:noFill/>
        <a:ln w="9360">
          <a:solidFill>
            <a:srgbClr val="B3B3B3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319</c:v>
                </c:pt>
                <c:pt idx="1">
                  <c:v>139</c:v>
                </c:pt>
                <c:pt idx="2">
                  <c:v>305</c:v>
                </c:pt>
                <c:pt idx="3">
                  <c:v>378</c:v>
                </c:pt>
                <c:pt idx="4">
                  <c:v>456</c:v>
                </c:pt>
                <c:pt idx="5">
                  <c:v>231</c:v>
                </c:pt>
                <c:pt idx="6">
                  <c:v>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4E-477E-AFAE-4336CB008A97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504</c:v>
                </c:pt>
                <c:pt idx="1">
                  <c:v>164</c:v>
                </c:pt>
                <c:pt idx="2">
                  <c:v>498</c:v>
                </c:pt>
                <c:pt idx="3">
                  <c:v>537</c:v>
                </c:pt>
                <c:pt idx="4">
                  <c:v>547</c:v>
                </c:pt>
                <c:pt idx="5">
                  <c:v>410</c:v>
                </c:pt>
                <c:pt idx="6">
                  <c:v>648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4E-477E-AFAE-4336CB008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80273408"/>
        <c:axId val="203689920"/>
        <c:axId val="0"/>
      </c:bar3DChart>
      <c:catAx>
        <c:axId val="2802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03689920"/>
        <c:crosses val="autoZero"/>
        <c:auto val="1"/>
        <c:lblAlgn val="ctr"/>
        <c:lblOffset val="100"/>
        <c:noMultiLvlLbl val="0"/>
      </c:catAx>
      <c:valAx>
        <c:axId val="20368992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80273408"/>
        <c:crosses val="autoZero"/>
        <c:crossBetween val="between"/>
      </c:valAx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gap"/>
    <c:showDLblsOverMax val="1"/>
  </c:chart>
  <c:spPr>
    <a:noFill/>
    <a:ln w="936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1"/>
      <c:rotY val="25"/>
      <c:rAngAx val="1"/>
    </c:view3D>
    <c:floor>
      <c:thickness val="0"/>
      <c:spPr>
        <a:solidFill>
          <a:srgbClr val="CCCCCC"/>
        </a:solidFill>
        <a:ln w="9360">
          <a:noFill/>
        </a:ln>
      </c:spPr>
    </c:floor>
    <c:sideWall>
      <c:thickness val="0"/>
      <c:spPr>
        <a:noFill/>
        <a:ln w="9360">
          <a:solidFill>
            <a:srgbClr val="B3B3B3"/>
          </a:solidFill>
          <a:round/>
        </a:ln>
      </c:spPr>
    </c:sideWall>
    <c:backWall>
      <c:thickness val="0"/>
      <c:spPr>
        <a:noFill/>
        <a:ln w="9360">
          <a:solidFill>
            <a:srgbClr val="B3B3B3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8A-4FC3-A264-B3396DEBE615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8A-4FC3-A264-B3396DEB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80273920"/>
        <c:axId val="219297984"/>
        <c:axId val="0"/>
      </c:bar3DChart>
      <c:catAx>
        <c:axId val="28027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19297984"/>
        <c:crosses val="autoZero"/>
        <c:auto val="1"/>
        <c:lblAlgn val="ctr"/>
        <c:lblOffset val="100"/>
        <c:noMultiLvlLbl val="0"/>
      </c:catAx>
      <c:valAx>
        <c:axId val="219297984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80273920"/>
        <c:crosses val="autoZero"/>
        <c:crossBetween val="between"/>
      </c:valAx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gap"/>
    <c:showDLblsOverMax val="1"/>
  </c:chart>
  <c:spPr>
    <a:noFill/>
    <a:ln w="936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2DF-4BDF-9E2F-25C10F761FAF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DF-4BDF-9E2F-25C10F761FAF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DF-4BDF-9E2F-25C10F761FAF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DF-4BDF-9E2F-25C10F761FAF}"/>
              </c:ext>
            </c:extLst>
          </c:dPt>
          <c:dLbls>
            <c:dLbl>
              <c:idx val="0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DF-4BDF-9E2F-25C10F761FAF}"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DF-4BDF-9E2F-25C10F761FAF}"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DF-4BDF-9E2F-25C10F761FAF}"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DF-4BDF-9E2F-25C10F761FA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старше 61</c:v>
                </c:pt>
                <c:pt idx="1">
                  <c:v>46-60</c:v>
                </c:pt>
                <c:pt idx="2">
                  <c:v>36-40</c:v>
                </c:pt>
                <c:pt idx="3">
                  <c:v>не уст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2DF-4BDF-9E2F-25C10F761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zero"/>
    <c:showDLblsOverMax val="1"/>
  </c:chart>
  <c:spPr>
    <a:noFill/>
    <a:ln w="9360"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1"/>
      <c:rotY val="25"/>
      <c:rAngAx val="1"/>
    </c:view3D>
    <c:floor>
      <c:thickness val="0"/>
      <c:spPr>
        <a:solidFill>
          <a:srgbClr val="CCCCCC"/>
        </a:solidFill>
        <a:ln w="9360">
          <a:noFill/>
        </a:ln>
      </c:spPr>
    </c:floor>
    <c:sideWall>
      <c:thickness val="0"/>
      <c:spPr>
        <a:noFill/>
        <a:ln w="9360">
          <a:solidFill>
            <a:srgbClr val="B3B3B3"/>
          </a:solidFill>
          <a:round/>
        </a:ln>
      </c:spPr>
    </c:sideWall>
    <c:backWall>
      <c:thickness val="0"/>
      <c:spPr>
        <a:noFill/>
        <a:ln w="9360">
          <a:solidFill>
            <a:srgbClr val="B3B3B3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D3-4022-9E4C-40BCBDE825AA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Советский</c:v>
                </c:pt>
                <c:pt idx="1">
                  <c:v>Центральный</c:v>
                </c:pt>
                <c:pt idx="2">
                  <c:v>Металлургический</c:v>
                </c:pt>
                <c:pt idx="3">
                  <c:v>Тракторозаводский</c:v>
                </c:pt>
                <c:pt idx="4">
                  <c:v>Курчатовский</c:v>
                </c:pt>
                <c:pt idx="5">
                  <c:v>Калининский</c:v>
                </c:pt>
                <c:pt idx="6">
                  <c:v>Ленинский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D3-4022-9E4C-40BCBDE82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80398848"/>
        <c:axId val="219305024"/>
        <c:axId val="0"/>
      </c:bar3DChart>
      <c:catAx>
        <c:axId val="28039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19305024"/>
        <c:crosses val="autoZero"/>
        <c:auto val="1"/>
        <c:lblAlgn val="ctr"/>
        <c:lblOffset val="100"/>
        <c:noMultiLvlLbl val="0"/>
      </c:catAx>
      <c:valAx>
        <c:axId val="219305024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80398848"/>
        <c:crosses val="autoZero"/>
        <c:crossBetween val="between"/>
      </c:valAx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gap"/>
    <c:showDLblsOverMax val="1"/>
  </c:chart>
  <c:spPr>
    <a:noFill/>
    <a:ln w="9360"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5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33F-46DB-9764-A521AFE92D2C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3F-46DB-9764-A521AFE92D2C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3F-46DB-9764-A521AFE92D2C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3F-46DB-9764-A521AFE92D2C}"/>
              </c:ext>
            </c:extLst>
          </c:dPt>
          <c:dPt>
            <c:idx val="4"/>
            <c:bubble3D val="0"/>
            <c:spPr>
              <a:solidFill>
                <a:srgbClr val="7E002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3F-46DB-9764-A521AFE92D2C}"/>
              </c:ext>
            </c:extLst>
          </c:dPt>
          <c:dPt>
            <c:idx val="5"/>
            <c:bubble3D val="0"/>
            <c:spPr>
              <a:solidFill>
                <a:srgbClr val="83CA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3F-46DB-9764-A521AFE92D2C}"/>
              </c:ext>
            </c:extLst>
          </c:dPt>
          <c:dPt>
            <c:idx val="6"/>
            <c:bubble3D val="0"/>
            <c:spPr>
              <a:solidFill>
                <a:srgbClr val="31400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33F-46DB-9764-A521AFE92D2C}"/>
              </c:ext>
            </c:extLst>
          </c:dPt>
          <c:dLbls>
            <c:dLbl>
              <c:idx val="0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3F-46DB-9764-A521AFE92D2C}"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3F-46DB-9764-A521AFE92D2C}"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3F-46DB-9764-A521AFE92D2C}"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3F-46DB-9764-A521AFE92D2C}"/>
                </c:ext>
              </c:extLst>
            </c:dLbl>
            <c:dLbl>
              <c:idx val="4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3F-46DB-9764-A521AFE92D2C}"/>
                </c:ext>
              </c:extLst>
            </c:dLbl>
            <c:dLbl>
              <c:idx val="5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3F-46DB-9764-A521AFE92D2C}"/>
                </c:ext>
              </c:extLst>
            </c:dLbl>
            <c:dLbl>
              <c:idx val="6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3F-46DB-9764-A521AFE92D2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7"/>
                <c:pt idx="0">
                  <c:v>жилье</c:v>
                </c:pt>
                <c:pt idx="1">
                  <c:v>мусор</c:v>
                </c:pt>
                <c:pt idx="2">
                  <c:v>транспорт</c:v>
                </c:pt>
                <c:pt idx="3">
                  <c:v>торговля</c:v>
                </c:pt>
                <c:pt idx="4">
                  <c:v>производство</c:v>
                </c:pt>
                <c:pt idx="5">
                  <c:v>образование</c:v>
                </c:pt>
                <c:pt idx="6">
                  <c:v>здр-ие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504</c:v>
                </c:pt>
                <c:pt idx="1">
                  <c:v>2601</c:v>
                </c:pt>
                <c:pt idx="2">
                  <c:v>83</c:v>
                </c:pt>
                <c:pt idx="3">
                  <c:v>31</c:v>
                </c:pt>
                <c:pt idx="4">
                  <c:v>24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33F-46DB-9764-A521AFE92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zero"/>
    <c:showDLblsOverMax val="1"/>
  </c:chart>
  <c:spPr>
    <a:noFill/>
    <a:ln w="9360"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5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D97-40FE-83CB-887B549A8B1A}"/>
              </c:ext>
            </c:extLst>
          </c:dPt>
          <c:dPt>
            <c:idx val="1"/>
            <c:bubble3D val="0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97-40FE-83CB-887B549A8B1A}"/>
              </c:ext>
            </c:extLst>
          </c:dPt>
          <c:dPt>
            <c:idx val="2"/>
            <c:bubble3D val="0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97-40FE-83CB-887B549A8B1A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97-40FE-83CB-887B549A8B1A}"/>
              </c:ext>
            </c:extLst>
          </c:dPt>
          <c:dLbls>
            <c:dLbl>
              <c:idx val="0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7-40FE-83CB-887B549A8B1A}"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7-40FE-83CB-887B549A8B1A}"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97-40FE-83CB-887B549A8B1A}"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97-40FE-83CB-887B549A8B1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НОСО</c:v>
                </c:pt>
                <c:pt idx="1">
                  <c:v>КЗ</c:v>
                </c:pt>
                <c:pt idx="2">
                  <c:v>поджог</c:v>
                </c:pt>
                <c:pt idx="3">
                  <c:v>печь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2898</c:v>
                </c:pt>
                <c:pt idx="1">
                  <c:v>237</c:v>
                </c:pt>
                <c:pt idx="2">
                  <c:v>98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97-40FE-83CB-887B549A8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zero"/>
    <c:showDLblsOverMax val="1"/>
  </c:chart>
  <c:spPr>
    <a:noFill/>
    <a:ln w="936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Шилко</cp:lastModifiedBy>
  <cp:revision>2</cp:revision>
  <cp:lastPrinted>2021-09-09T15:15:00Z</cp:lastPrinted>
  <dcterms:created xsi:type="dcterms:W3CDTF">2021-10-12T05:47:00Z</dcterms:created>
  <dcterms:modified xsi:type="dcterms:W3CDTF">2021-10-12T05:47:00Z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